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67" w:rsidRPr="002B79F3" w:rsidRDefault="002B2F67" w:rsidP="002B2F67">
      <w:pPr>
        <w:widowControl/>
        <w:adjustRightInd w:val="0"/>
        <w:snapToGrid w:val="0"/>
        <w:jc w:val="center"/>
        <w:rPr>
          <w:color w:val="000000"/>
          <w:kern w:val="0"/>
          <w:sz w:val="32"/>
          <w:szCs w:val="32"/>
        </w:rPr>
      </w:pPr>
      <w:r w:rsidRPr="002B79F3">
        <w:rPr>
          <w:rFonts w:ascii="標楷體" w:eastAsia="標楷體" w:hAnsi="標楷體" w:hint="eastAsia"/>
          <w:color w:val="000000"/>
          <w:kern w:val="0"/>
          <w:sz w:val="32"/>
          <w:szCs w:val="32"/>
        </w:rPr>
        <w:t>中國科技大學學生操行成績考核辦法</w:t>
      </w:r>
    </w:p>
    <w:p w:rsidR="002B2F67" w:rsidRPr="0088662A" w:rsidRDefault="002B2F67" w:rsidP="002B2F67">
      <w:pPr>
        <w:widowControl/>
        <w:adjustRightInd w:val="0"/>
        <w:snapToGrid w:val="0"/>
        <w:jc w:val="right"/>
        <w:rPr>
          <w:rFonts w:ascii="標楷體" w:eastAsia="標楷體" w:hAnsi="標楷體"/>
          <w:color w:val="000000"/>
          <w:kern w:val="0"/>
          <w:sz w:val="20"/>
        </w:rPr>
      </w:pPr>
    </w:p>
    <w:p w:rsidR="002B2F67" w:rsidRPr="002B79F3" w:rsidRDefault="002B2F67" w:rsidP="002B2F67">
      <w:pPr>
        <w:widowControl/>
        <w:adjustRightInd w:val="0"/>
        <w:snapToGrid w:val="0"/>
        <w:jc w:val="right"/>
        <w:rPr>
          <w:color w:val="000000"/>
          <w:kern w:val="0"/>
          <w:sz w:val="20"/>
        </w:rPr>
      </w:pPr>
      <w:r w:rsidRPr="002B79F3">
        <w:rPr>
          <w:rFonts w:ascii="標楷體" w:eastAsia="標楷體" w:hAnsi="標楷體" w:hint="eastAsia"/>
          <w:color w:val="000000"/>
          <w:kern w:val="0"/>
          <w:sz w:val="20"/>
        </w:rPr>
        <w:t>中華民國</w:t>
      </w:r>
      <w:r w:rsidRPr="002B79F3">
        <w:rPr>
          <w:rFonts w:ascii="標楷體" w:eastAsia="標楷體" w:hAnsi="標楷體"/>
          <w:color w:val="000000"/>
          <w:kern w:val="0"/>
          <w:sz w:val="20"/>
        </w:rPr>
        <w:t>94</w:t>
      </w:r>
      <w:r w:rsidRPr="002B79F3">
        <w:rPr>
          <w:rFonts w:ascii="標楷體" w:eastAsia="標楷體" w:hAnsi="標楷體" w:hint="eastAsia"/>
          <w:color w:val="000000"/>
          <w:kern w:val="0"/>
          <w:sz w:val="20"/>
        </w:rPr>
        <w:t>年</w:t>
      </w:r>
      <w:r w:rsidRPr="002B79F3">
        <w:rPr>
          <w:rFonts w:ascii="標楷體" w:eastAsia="標楷體" w:hAnsi="標楷體"/>
          <w:color w:val="000000"/>
          <w:kern w:val="0"/>
          <w:sz w:val="20"/>
        </w:rPr>
        <w:t>3</w:t>
      </w:r>
      <w:r w:rsidRPr="002B79F3">
        <w:rPr>
          <w:rFonts w:ascii="標楷體" w:eastAsia="標楷體" w:hAnsi="標楷體" w:hint="eastAsia"/>
          <w:color w:val="000000"/>
          <w:kern w:val="0"/>
          <w:sz w:val="20"/>
        </w:rPr>
        <w:t>月</w:t>
      </w:r>
      <w:r w:rsidRPr="002B79F3">
        <w:rPr>
          <w:rFonts w:ascii="標楷體" w:eastAsia="標楷體" w:hAnsi="標楷體"/>
          <w:color w:val="000000"/>
          <w:kern w:val="0"/>
          <w:sz w:val="20"/>
        </w:rPr>
        <w:t>23</w:t>
      </w:r>
      <w:r w:rsidRPr="002B79F3">
        <w:rPr>
          <w:rFonts w:ascii="標楷體" w:eastAsia="標楷體" w:hAnsi="標楷體" w:hint="eastAsia"/>
          <w:color w:val="000000"/>
          <w:kern w:val="0"/>
          <w:sz w:val="20"/>
        </w:rPr>
        <w:t>日學生事務會議修訂</w:t>
      </w:r>
    </w:p>
    <w:p w:rsidR="002B2F67" w:rsidRPr="002B79F3" w:rsidRDefault="002B2F67" w:rsidP="002B2F67">
      <w:pPr>
        <w:widowControl/>
        <w:adjustRightInd w:val="0"/>
        <w:snapToGrid w:val="0"/>
        <w:jc w:val="right"/>
        <w:rPr>
          <w:color w:val="000000"/>
          <w:kern w:val="0"/>
          <w:sz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5"/>
          <w:attr w:name="Month" w:val="9"/>
          <w:attr w:name="Year" w:val="2005"/>
        </w:smartTagPr>
        <w:r w:rsidRPr="002B79F3">
          <w:rPr>
            <w:rFonts w:ascii="標楷體" w:eastAsia="標楷體" w:hAnsi="標楷體" w:hint="eastAsia"/>
            <w:color w:val="000000"/>
            <w:kern w:val="0"/>
            <w:sz w:val="20"/>
          </w:rPr>
          <w:t>中華民國</w:t>
        </w:r>
        <w:r w:rsidRPr="002B79F3">
          <w:rPr>
            <w:rFonts w:ascii="標楷體" w:eastAsia="標楷體" w:hAnsi="標楷體"/>
            <w:color w:val="000000"/>
            <w:kern w:val="0"/>
            <w:sz w:val="20"/>
          </w:rPr>
          <w:t>94</w:t>
        </w:r>
        <w:r w:rsidRPr="002B79F3">
          <w:rPr>
            <w:rFonts w:ascii="標楷體" w:eastAsia="標楷體" w:hAnsi="標楷體" w:hint="eastAsia"/>
            <w:color w:val="000000"/>
            <w:kern w:val="0"/>
            <w:sz w:val="20"/>
          </w:rPr>
          <w:t>年</w:t>
        </w:r>
        <w:r w:rsidRPr="002B79F3">
          <w:rPr>
            <w:rFonts w:ascii="標楷體" w:eastAsia="標楷體" w:hAnsi="標楷體"/>
            <w:color w:val="000000"/>
            <w:kern w:val="0"/>
            <w:sz w:val="20"/>
          </w:rPr>
          <w:t>9</w:t>
        </w:r>
        <w:r w:rsidRPr="002B79F3">
          <w:rPr>
            <w:rFonts w:ascii="標楷體" w:eastAsia="標楷體" w:hAnsi="標楷體" w:hint="eastAsia"/>
            <w:color w:val="000000"/>
            <w:kern w:val="0"/>
            <w:sz w:val="20"/>
          </w:rPr>
          <w:t>月</w:t>
        </w:r>
        <w:r w:rsidRPr="002B79F3">
          <w:rPr>
            <w:rFonts w:ascii="標楷體" w:eastAsia="標楷體" w:hAnsi="標楷體"/>
            <w:color w:val="000000"/>
            <w:kern w:val="0"/>
            <w:sz w:val="20"/>
          </w:rPr>
          <w:t>5</w:t>
        </w:r>
        <w:r w:rsidRPr="002B79F3">
          <w:rPr>
            <w:rFonts w:ascii="標楷體" w:eastAsia="標楷體" w:hAnsi="標楷體" w:hint="eastAsia"/>
            <w:color w:val="000000"/>
            <w:kern w:val="0"/>
            <w:sz w:val="20"/>
          </w:rPr>
          <w:t>日</w:t>
        </w:r>
      </w:smartTag>
      <w:r w:rsidRPr="002B79F3">
        <w:rPr>
          <w:rFonts w:ascii="標楷體" w:eastAsia="標楷體" w:hAnsi="標楷體" w:hint="eastAsia"/>
          <w:color w:val="000000"/>
          <w:kern w:val="0"/>
          <w:sz w:val="20"/>
        </w:rPr>
        <w:t>學生事務會議通過</w:t>
      </w:r>
    </w:p>
    <w:p w:rsidR="002B2F67" w:rsidRPr="002B79F3" w:rsidRDefault="002B2F67" w:rsidP="002B2F67">
      <w:pPr>
        <w:widowControl/>
        <w:adjustRightInd w:val="0"/>
        <w:snapToGrid w:val="0"/>
        <w:jc w:val="right"/>
        <w:rPr>
          <w:color w:val="000000"/>
          <w:kern w:val="0"/>
          <w:sz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8"/>
          <w:attr w:name="Month" w:val="9"/>
          <w:attr w:name="Year" w:val="2008"/>
        </w:smartTagPr>
        <w:r w:rsidRPr="002B79F3">
          <w:rPr>
            <w:rFonts w:ascii="標楷體" w:eastAsia="標楷體" w:hAnsi="標楷體" w:hint="eastAsia"/>
            <w:color w:val="000000"/>
            <w:kern w:val="0"/>
            <w:sz w:val="20"/>
          </w:rPr>
          <w:t>中華民國</w:t>
        </w:r>
        <w:r w:rsidRPr="002B79F3">
          <w:rPr>
            <w:rFonts w:ascii="標楷體" w:eastAsia="標楷體" w:hAnsi="標楷體"/>
            <w:color w:val="000000"/>
            <w:kern w:val="0"/>
            <w:sz w:val="20"/>
          </w:rPr>
          <w:t>97</w:t>
        </w:r>
        <w:r w:rsidRPr="002B79F3">
          <w:rPr>
            <w:rFonts w:ascii="標楷體" w:eastAsia="標楷體" w:hAnsi="標楷體" w:hint="eastAsia"/>
            <w:color w:val="000000"/>
            <w:kern w:val="0"/>
            <w:sz w:val="20"/>
          </w:rPr>
          <w:t>年</w:t>
        </w:r>
        <w:r w:rsidRPr="002B79F3">
          <w:rPr>
            <w:rFonts w:ascii="標楷體" w:eastAsia="標楷體" w:hAnsi="標楷體"/>
            <w:color w:val="000000"/>
            <w:kern w:val="0"/>
            <w:sz w:val="20"/>
          </w:rPr>
          <w:t>9</w:t>
        </w:r>
        <w:r w:rsidRPr="002B79F3">
          <w:rPr>
            <w:rFonts w:ascii="標楷體" w:eastAsia="標楷體" w:hAnsi="標楷體" w:hint="eastAsia"/>
            <w:color w:val="000000"/>
            <w:kern w:val="0"/>
            <w:sz w:val="20"/>
          </w:rPr>
          <w:t>月</w:t>
        </w:r>
        <w:r w:rsidRPr="002B79F3">
          <w:rPr>
            <w:rFonts w:ascii="標楷體" w:eastAsia="標楷體" w:hAnsi="標楷體"/>
            <w:color w:val="000000"/>
            <w:kern w:val="0"/>
            <w:sz w:val="20"/>
          </w:rPr>
          <w:t>8</w:t>
        </w:r>
        <w:r w:rsidRPr="002B79F3">
          <w:rPr>
            <w:rFonts w:ascii="標楷體" w:eastAsia="標楷體" w:hAnsi="標楷體" w:hint="eastAsia"/>
            <w:color w:val="000000"/>
            <w:kern w:val="0"/>
            <w:sz w:val="20"/>
          </w:rPr>
          <w:t>日</w:t>
        </w:r>
      </w:smartTag>
      <w:r w:rsidRPr="002B79F3">
        <w:rPr>
          <w:rFonts w:ascii="標楷體" w:eastAsia="標楷體" w:hAnsi="標楷體" w:hint="eastAsia"/>
          <w:color w:val="000000"/>
          <w:kern w:val="0"/>
          <w:sz w:val="20"/>
        </w:rPr>
        <w:t>學生事務會議修訂</w:t>
      </w:r>
    </w:p>
    <w:p w:rsidR="002B2F67" w:rsidRDefault="002B2F67" w:rsidP="002B2F67">
      <w:pPr>
        <w:widowControl/>
        <w:adjustRightInd w:val="0"/>
        <w:snapToGrid w:val="0"/>
        <w:jc w:val="right"/>
        <w:rPr>
          <w:rFonts w:ascii="標楷體" w:eastAsia="標楷體" w:hAnsi="標楷體"/>
          <w:color w:val="000000"/>
          <w:kern w:val="0"/>
          <w:sz w:val="20"/>
        </w:rPr>
      </w:pPr>
      <w:r w:rsidRPr="002B79F3">
        <w:rPr>
          <w:rFonts w:ascii="標楷體" w:eastAsia="標楷體" w:hAnsi="標楷體"/>
          <w:color w:val="000000"/>
          <w:kern w:val="0"/>
          <w:sz w:val="20"/>
        </w:rPr>
        <w:t> </w:t>
      </w:r>
      <w:r w:rsidRPr="002B79F3">
        <w:rPr>
          <w:rFonts w:ascii="標楷體" w:eastAsia="標楷體" w:hAnsi="標楷體" w:hint="eastAsia"/>
          <w:color w:val="000000"/>
          <w:kern w:val="0"/>
          <w:sz w:val="20"/>
        </w:rPr>
        <w:t>中華民國</w:t>
      </w:r>
      <w:r>
        <w:rPr>
          <w:rFonts w:ascii="標楷體" w:eastAsia="標楷體" w:hAnsi="標楷體" w:hint="eastAsia"/>
          <w:color w:val="000000"/>
          <w:kern w:val="0"/>
          <w:sz w:val="20"/>
        </w:rPr>
        <w:t>10</w:t>
      </w:r>
      <w:r w:rsidRPr="002B79F3">
        <w:rPr>
          <w:rFonts w:ascii="標楷體" w:eastAsia="標楷體" w:hAnsi="標楷體"/>
          <w:color w:val="000000"/>
          <w:kern w:val="0"/>
          <w:sz w:val="20"/>
        </w:rPr>
        <w:t>7</w:t>
      </w:r>
      <w:r w:rsidRPr="002B79F3">
        <w:rPr>
          <w:rFonts w:ascii="標楷體" w:eastAsia="標楷體" w:hAnsi="標楷體" w:hint="eastAsia"/>
          <w:color w:val="000000"/>
          <w:kern w:val="0"/>
          <w:sz w:val="20"/>
        </w:rPr>
        <w:t>年</w:t>
      </w:r>
      <w:r>
        <w:rPr>
          <w:rFonts w:ascii="標楷體" w:eastAsia="標楷體" w:hAnsi="標楷體" w:hint="eastAsia"/>
          <w:color w:val="000000"/>
          <w:kern w:val="0"/>
          <w:sz w:val="20"/>
        </w:rPr>
        <w:t>3</w:t>
      </w:r>
      <w:r w:rsidRPr="002B79F3">
        <w:rPr>
          <w:rFonts w:ascii="標楷體" w:eastAsia="標楷體" w:hAnsi="標楷體" w:hint="eastAsia"/>
          <w:color w:val="000000"/>
          <w:kern w:val="0"/>
          <w:sz w:val="20"/>
        </w:rPr>
        <w:t>月</w:t>
      </w:r>
      <w:r>
        <w:rPr>
          <w:rFonts w:ascii="標楷體" w:eastAsia="標楷體" w:hAnsi="標楷體" w:hint="eastAsia"/>
          <w:color w:val="000000"/>
          <w:kern w:val="0"/>
          <w:sz w:val="20"/>
        </w:rPr>
        <w:t>30</w:t>
      </w:r>
      <w:r w:rsidRPr="002B79F3">
        <w:rPr>
          <w:rFonts w:ascii="標楷體" w:eastAsia="標楷體" w:hAnsi="標楷體" w:hint="eastAsia"/>
          <w:color w:val="000000"/>
          <w:kern w:val="0"/>
          <w:sz w:val="20"/>
        </w:rPr>
        <w:t>日學生事務會議修訂</w:t>
      </w:r>
    </w:p>
    <w:p w:rsidR="002B2F67" w:rsidRPr="002B79F3" w:rsidRDefault="002B2F67" w:rsidP="002B2F67">
      <w:pPr>
        <w:widowControl/>
        <w:adjustRightInd w:val="0"/>
        <w:snapToGrid w:val="0"/>
        <w:jc w:val="right"/>
        <w:rPr>
          <w:color w:val="000000"/>
          <w:kern w:val="0"/>
          <w:sz w:val="20"/>
        </w:rPr>
      </w:pPr>
    </w:p>
    <w:p w:rsidR="002B2F67" w:rsidRPr="00283523" w:rsidRDefault="002B2F67" w:rsidP="002B2F67">
      <w:pPr>
        <w:widowControl/>
        <w:spacing w:before="120" w:line="360" w:lineRule="atLeast"/>
        <w:ind w:left="900" w:hanging="900"/>
        <w:jc w:val="both"/>
        <w:rPr>
          <w:color w:val="000000"/>
          <w:kern w:val="0"/>
        </w:rPr>
      </w:pPr>
      <w:bookmarkStart w:id="0" w:name="_GoBack"/>
      <w:r w:rsidRPr="00283523">
        <w:rPr>
          <w:rFonts w:ascii="標楷體" w:eastAsia="標楷體" w:hAnsi="標楷體"/>
          <w:color w:val="000000"/>
          <w:kern w:val="0"/>
        </w:rPr>
        <w:t>第一條</w:t>
      </w:r>
      <w:r w:rsidRPr="00283523">
        <w:rPr>
          <w:rFonts w:ascii="標楷體" w:eastAsia="標楷體" w:hAnsi="標楷體" w:hint="eastAsia"/>
          <w:color w:val="000000"/>
          <w:kern w:val="0"/>
          <w:sz w:val="14"/>
          <w:szCs w:val="14"/>
        </w:rPr>
        <w:t>   </w:t>
      </w:r>
      <w:r w:rsidRPr="00283523">
        <w:rPr>
          <w:rFonts w:ascii="標楷體" w:eastAsia="標楷體" w:hAnsi="標楷體" w:hint="eastAsia"/>
          <w:color w:val="000000"/>
          <w:kern w:val="0"/>
        </w:rPr>
        <w:t>中國科技大學</w:t>
      </w:r>
      <w:r w:rsidRPr="00283523">
        <w:rPr>
          <w:rFonts w:ascii="標楷體" w:eastAsia="標楷體" w:hAnsi="標楷體"/>
          <w:color w:val="000000"/>
          <w:kern w:val="0"/>
        </w:rPr>
        <w:t>(</w:t>
      </w:r>
      <w:r w:rsidRPr="00283523">
        <w:rPr>
          <w:rFonts w:ascii="標楷體" w:eastAsia="標楷體" w:hAnsi="標楷體" w:hint="eastAsia"/>
          <w:color w:val="000000"/>
          <w:kern w:val="0"/>
        </w:rPr>
        <w:t>以下簡稱本校</w:t>
      </w:r>
      <w:r w:rsidRPr="00283523">
        <w:rPr>
          <w:rFonts w:ascii="標楷體" w:eastAsia="標楷體" w:hAnsi="標楷體"/>
          <w:color w:val="000000"/>
          <w:kern w:val="0"/>
        </w:rPr>
        <w:t>)</w:t>
      </w:r>
      <w:r w:rsidRPr="00283523">
        <w:rPr>
          <w:rFonts w:ascii="標楷體" w:eastAsia="標楷體" w:hAnsi="標楷體" w:hint="eastAsia"/>
          <w:color w:val="000000"/>
          <w:kern w:val="0"/>
        </w:rPr>
        <w:t>為學生操行成績之評核，特訂定「中國科技大學學生操行成績考核辦法」</w:t>
      </w:r>
      <w:r w:rsidRPr="00283523">
        <w:rPr>
          <w:rFonts w:ascii="標楷體" w:eastAsia="標楷體" w:hAnsi="標楷體"/>
          <w:color w:val="000000"/>
          <w:kern w:val="0"/>
        </w:rPr>
        <w:t>(</w:t>
      </w:r>
      <w:r w:rsidRPr="00283523">
        <w:rPr>
          <w:rFonts w:ascii="標楷體" w:eastAsia="標楷體" w:hAnsi="標楷體" w:hint="eastAsia"/>
          <w:color w:val="000000"/>
          <w:kern w:val="0"/>
        </w:rPr>
        <w:t>以下簡稱本辦法</w:t>
      </w:r>
      <w:r w:rsidRPr="00283523">
        <w:rPr>
          <w:rFonts w:ascii="標楷體" w:eastAsia="標楷體" w:hAnsi="標楷體"/>
          <w:color w:val="000000"/>
          <w:kern w:val="0"/>
        </w:rPr>
        <w:t>)</w:t>
      </w:r>
      <w:r w:rsidRPr="00283523">
        <w:rPr>
          <w:rFonts w:ascii="標楷體" w:eastAsia="標楷體" w:hAnsi="標楷體" w:hint="eastAsia"/>
          <w:color w:val="000000"/>
          <w:kern w:val="0"/>
        </w:rPr>
        <w:t>。</w:t>
      </w:r>
    </w:p>
    <w:p w:rsidR="002B2F67" w:rsidRPr="00283523" w:rsidRDefault="002B2F67" w:rsidP="002B2F67">
      <w:pPr>
        <w:widowControl/>
        <w:spacing w:before="120" w:line="360" w:lineRule="atLeast"/>
        <w:ind w:left="900" w:hanging="900"/>
        <w:jc w:val="both"/>
        <w:rPr>
          <w:color w:val="000000"/>
          <w:kern w:val="0"/>
        </w:rPr>
      </w:pPr>
      <w:r w:rsidRPr="00283523">
        <w:rPr>
          <w:rFonts w:ascii="標楷體" w:eastAsia="標楷體" w:hAnsi="標楷體"/>
          <w:color w:val="000000"/>
          <w:kern w:val="0"/>
        </w:rPr>
        <w:t>第二條</w:t>
      </w:r>
      <w:r w:rsidRPr="00283523">
        <w:rPr>
          <w:rFonts w:ascii="標楷體" w:eastAsia="標楷體" w:hAnsi="標楷體" w:hint="eastAsia"/>
          <w:color w:val="000000"/>
          <w:kern w:val="0"/>
          <w:sz w:val="14"/>
          <w:szCs w:val="14"/>
        </w:rPr>
        <w:t>   </w:t>
      </w:r>
      <w:r w:rsidRPr="00283523">
        <w:rPr>
          <w:rFonts w:ascii="標楷體" w:eastAsia="標楷體" w:hAnsi="標楷體" w:hint="eastAsia"/>
          <w:color w:val="000000"/>
          <w:kern w:val="0"/>
        </w:rPr>
        <w:t>本辦法所稱學生係指本校各研究所、大學部四技、進修部四技、附設進修學院與專科進修學校學生。</w:t>
      </w:r>
    </w:p>
    <w:p w:rsidR="002B2F67" w:rsidRPr="00283523" w:rsidRDefault="002B2F67" w:rsidP="002B2F67">
      <w:pPr>
        <w:widowControl/>
        <w:spacing w:before="120" w:line="360" w:lineRule="atLeast"/>
        <w:ind w:left="900" w:hanging="900"/>
        <w:jc w:val="both"/>
        <w:rPr>
          <w:color w:val="000000"/>
          <w:kern w:val="0"/>
        </w:rPr>
      </w:pPr>
      <w:r w:rsidRPr="00283523">
        <w:rPr>
          <w:rFonts w:ascii="標楷體" w:eastAsia="標楷體" w:hAnsi="標楷體"/>
          <w:color w:val="000000"/>
          <w:kern w:val="0"/>
        </w:rPr>
        <w:t>第三條</w:t>
      </w:r>
      <w:r w:rsidRPr="00283523">
        <w:rPr>
          <w:rFonts w:ascii="標楷體" w:eastAsia="標楷體" w:hAnsi="標楷體" w:hint="eastAsia"/>
          <w:color w:val="000000"/>
          <w:kern w:val="0"/>
          <w:sz w:val="14"/>
          <w:szCs w:val="14"/>
        </w:rPr>
        <w:t>   </w:t>
      </w:r>
      <w:r w:rsidRPr="00283523">
        <w:rPr>
          <w:rFonts w:ascii="標楷體" w:eastAsia="標楷體" w:hAnsi="標楷體" w:hint="eastAsia"/>
          <w:color w:val="000000"/>
          <w:kern w:val="0"/>
        </w:rPr>
        <w:t>學生操行成績之評定，依其言行以及平日服務、守法之精神、學習與生活情形、獎懲等考核資料；於每學期結束前由學</w:t>
      </w:r>
      <w:proofErr w:type="gramStart"/>
      <w:r w:rsidRPr="00283523">
        <w:rPr>
          <w:rFonts w:ascii="標楷體" w:eastAsia="標楷體" w:hAnsi="標楷體" w:hint="eastAsia"/>
          <w:color w:val="000000"/>
          <w:kern w:val="0"/>
        </w:rPr>
        <w:t>務</w:t>
      </w:r>
      <w:proofErr w:type="gramEnd"/>
      <w:r w:rsidRPr="00283523">
        <w:rPr>
          <w:rFonts w:ascii="標楷體" w:eastAsia="標楷體" w:hAnsi="標楷體" w:hint="eastAsia"/>
          <w:color w:val="000000"/>
          <w:kern w:val="0"/>
        </w:rPr>
        <w:t>處生活輔導組列印各班學生操行</w:t>
      </w:r>
      <w:proofErr w:type="gramStart"/>
      <w:r w:rsidRPr="00283523">
        <w:rPr>
          <w:rFonts w:ascii="標楷體" w:eastAsia="標楷體" w:hAnsi="標楷體" w:hint="eastAsia"/>
          <w:color w:val="000000"/>
          <w:kern w:val="0"/>
        </w:rPr>
        <w:t>記錄表交予</w:t>
      </w:r>
      <w:proofErr w:type="gramEnd"/>
      <w:r w:rsidRPr="00283523">
        <w:rPr>
          <w:rFonts w:ascii="標楷體" w:eastAsia="標楷體" w:hAnsi="標楷體" w:hint="eastAsia"/>
          <w:color w:val="000000"/>
          <w:kern w:val="0"/>
        </w:rPr>
        <w:t>導師，經導師簽字同意，送學</w:t>
      </w:r>
      <w:proofErr w:type="gramStart"/>
      <w:r w:rsidRPr="00283523">
        <w:rPr>
          <w:rFonts w:ascii="標楷體" w:eastAsia="標楷體" w:hAnsi="標楷體" w:hint="eastAsia"/>
          <w:color w:val="000000"/>
          <w:kern w:val="0"/>
        </w:rPr>
        <w:t>務</w:t>
      </w:r>
      <w:proofErr w:type="gramEnd"/>
      <w:r w:rsidRPr="00283523">
        <w:rPr>
          <w:rFonts w:ascii="標楷體" w:eastAsia="標楷體" w:hAnsi="標楷體" w:hint="eastAsia"/>
          <w:color w:val="000000"/>
          <w:kern w:val="0"/>
        </w:rPr>
        <w:t>處生輔</w:t>
      </w:r>
      <w:proofErr w:type="gramStart"/>
      <w:r w:rsidRPr="00283523">
        <w:rPr>
          <w:rFonts w:ascii="標楷體" w:eastAsia="標楷體" w:hAnsi="標楷體" w:hint="eastAsia"/>
          <w:color w:val="000000"/>
          <w:kern w:val="0"/>
        </w:rPr>
        <w:t>組彙辦</w:t>
      </w:r>
      <w:proofErr w:type="gramEnd"/>
      <w:r w:rsidRPr="00283523">
        <w:rPr>
          <w:rFonts w:ascii="標楷體" w:eastAsia="標楷體" w:hAnsi="標楷體" w:hint="eastAsia"/>
          <w:color w:val="000000"/>
          <w:kern w:val="0"/>
        </w:rPr>
        <w:t>。並經「學生獎懲審議委員會」審議通過後核定。</w:t>
      </w:r>
    </w:p>
    <w:p w:rsidR="002B2F67" w:rsidRPr="00283523" w:rsidRDefault="002B2F67" w:rsidP="002B2F67">
      <w:pPr>
        <w:widowControl/>
        <w:spacing w:before="120" w:line="360" w:lineRule="atLeast"/>
        <w:ind w:left="900" w:hanging="900"/>
        <w:jc w:val="both"/>
        <w:rPr>
          <w:color w:val="000000"/>
          <w:kern w:val="0"/>
        </w:rPr>
      </w:pPr>
      <w:r w:rsidRPr="00283523">
        <w:rPr>
          <w:rFonts w:ascii="標楷體" w:eastAsia="標楷體" w:hAnsi="標楷體"/>
          <w:color w:val="000000"/>
          <w:kern w:val="0"/>
        </w:rPr>
        <w:t>第四條</w:t>
      </w:r>
      <w:r w:rsidRPr="00283523">
        <w:rPr>
          <w:rFonts w:ascii="標楷體" w:eastAsia="標楷體" w:hAnsi="標楷體" w:hint="eastAsia"/>
          <w:color w:val="000000"/>
          <w:kern w:val="0"/>
          <w:sz w:val="14"/>
          <w:szCs w:val="14"/>
        </w:rPr>
        <w:t>   </w:t>
      </w:r>
      <w:r w:rsidRPr="00283523">
        <w:rPr>
          <w:rFonts w:ascii="標楷體" w:eastAsia="標楷體" w:hAnsi="標楷體" w:hint="eastAsia"/>
          <w:color w:val="000000"/>
          <w:kern w:val="0"/>
        </w:rPr>
        <w:t>學生操行成績以</w:t>
      </w:r>
      <w:r w:rsidRPr="00283523">
        <w:rPr>
          <w:rFonts w:ascii="標楷體" w:eastAsia="標楷體" w:hAnsi="標楷體"/>
          <w:color w:val="000000"/>
          <w:kern w:val="0"/>
        </w:rPr>
        <w:t>82</w:t>
      </w:r>
      <w:r w:rsidRPr="00283523">
        <w:rPr>
          <w:rFonts w:ascii="標楷體" w:eastAsia="標楷體" w:hAnsi="標楷體" w:hint="eastAsia"/>
          <w:color w:val="000000"/>
          <w:kern w:val="0"/>
        </w:rPr>
        <w:t>分為基本分數，併計導師加減分〈最高</w:t>
      </w:r>
      <w:r w:rsidRPr="00283523">
        <w:rPr>
          <w:rFonts w:ascii="標楷體" w:eastAsia="標楷體" w:hAnsi="標楷體"/>
          <w:color w:val="000000"/>
          <w:kern w:val="0"/>
        </w:rPr>
        <w:t>5</w:t>
      </w:r>
      <w:r w:rsidRPr="00283523">
        <w:rPr>
          <w:rFonts w:ascii="標楷體" w:eastAsia="標楷體" w:hAnsi="標楷體" w:hint="eastAsia"/>
          <w:color w:val="000000"/>
          <w:kern w:val="0"/>
        </w:rPr>
        <w:t>分〉、獎勵及懲罰分數，核計實得總分。</w:t>
      </w:r>
    </w:p>
    <w:p w:rsidR="002B2F67" w:rsidRPr="00283523" w:rsidRDefault="002B2F67" w:rsidP="002B2F67">
      <w:pPr>
        <w:widowControl/>
        <w:spacing w:before="120" w:line="360" w:lineRule="atLeast"/>
        <w:ind w:left="900" w:hanging="900"/>
        <w:jc w:val="both"/>
        <w:rPr>
          <w:color w:val="000000"/>
          <w:kern w:val="0"/>
        </w:rPr>
      </w:pPr>
      <w:r w:rsidRPr="00283523">
        <w:rPr>
          <w:rFonts w:ascii="標楷體" w:eastAsia="標楷體" w:hAnsi="標楷體"/>
          <w:color w:val="000000"/>
          <w:kern w:val="0"/>
        </w:rPr>
        <w:t>第五條</w:t>
      </w:r>
      <w:r w:rsidRPr="00283523">
        <w:rPr>
          <w:rFonts w:ascii="標楷體" w:eastAsia="標楷體" w:hAnsi="標楷體" w:hint="eastAsia"/>
          <w:color w:val="000000"/>
          <w:kern w:val="0"/>
          <w:sz w:val="14"/>
          <w:szCs w:val="14"/>
        </w:rPr>
        <w:t>   </w:t>
      </w:r>
      <w:r w:rsidRPr="00283523">
        <w:rPr>
          <w:rFonts w:ascii="標楷體" w:eastAsia="標楷體" w:hAnsi="標楷體" w:hint="eastAsia"/>
          <w:color w:val="000000"/>
          <w:kern w:val="0"/>
        </w:rPr>
        <w:t>學生操行成績以九十五分為滿分，其等第分為五等。</w:t>
      </w:r>
    </w:p>
    <w:p w:rsidR="002B2F67" w:rsidRPr="00283523" w:rsidRDefault="002B2F67" w:rsidP="002B2F67">
      <w:pPr>
        <w:widowControl/>
        <w:spacing w:line="360" w:lineRule="atLeast"/>
        <w:ind w:left="960" w:hanging="60"/>
        <w:jc w:val="both"/>
        <w:rPr>
          <w:color w:val="000000"/>
          <w:kern w:val="0"/>
        </w:rPr>
      </w:pPr>
      <w:r w:rsidRPr="00283523">
        <w:rPr>
          <w:rFonts w:ascii="標楷體" w:eastAsia="標楷體" w:hAnsi="標楷體"/>
          <w:color w:val="000000"/>
          <w:kern w:val="0"/>
        </w:rPr>
        <w:t>一、90</w:t>
      </w:r>
      <w:r w:rsidRPr="00283523">
        <w:rPr>
          <w:rFonts w:ascii="標楷體" w:eastAsia="標楷體" w:hAnsi="標楷體" w:hint="eastAsia"/>
          <w:color w:val="000000"/>
          <w:kern w:val="0"/>
        </w:rPr>
        <w:t>分以上至</w:t>
      </w:r>
      <w:r w:rsidRPr="00283523">
        <w:rPr>
          <w:rFonts w:ascii="標楷體" w:eastAsia="標楷體" w:hAnsi="標楷體"/>
          <w:color w:val="000000"/>
          <w:kern w:val="0"/>
        </w:rPr>
        <w:t>95</w:t>
      </w:r>
      <w:r w:rsidRPr="00283523">
        <w:rPr>
          <w:rFonts w:ascii="標楷體" w:eastAsia="標楷體" w:hAnsi="標楷體" w:hint="eastAsia"/>
          <w:color w:val="000000"/>
          <w:kern w:val="0"/>
        </w:rPr>
        <w:t>分者為優等。</w:t>
      </w:r>
    </w:p>
    <w:p w:rsidR="002B2F67" w:rsidRPr="00283523" w:rsidRDefault="002B2F67" w:rsidP="002B2F67">
      <w:pPr>
        <w:widowControl/>
        <w:spacing w:line="360" w:lineRule="atLeast"/>
        <w:ind w:left="960" w:hanging="60"/>
        <w:jc w:val="both"/>
        <w:rPr>
          <w:color w:val="000000"/>
          <w:kern w:val="0"/>
        </w:rPr>
      </w:pPr>
      <w:r w:rsidRPr="00283523">
        <w:rPr>
          <w:rFonts w:ascii="標楷體" w:eastAsia="標楷體" w:hAnsi="標楷體"/>
          <w:color w:val="000000"/>
          <w:kern w:val="0"/>
        </w:rPr>
        <w:t>二、80</w:t>
      </w:r>
      <w:r w:rsidRPr="00283523">
        <w:rPr>
          <w:rFonts w:ascii="標楷體" w:eastAsia="標楷體" w:hAnsi="標楷體" w:hint="eastAsia"/>
          <w:color w:val="000000"/>
          <w:kern w:val="0"/>
        </w:rPr>
        <w:t>分以上</w:t>
      </w:r>
      <w:proofErr w:type="gramStart"/>
      <w:r w:rsidRPr="00283523">
        <w:rPr>
          <w:rFonts w:ascii="標楷體" w:eastAsia="標楷體" w:hAnsi="標楷體" w:hint="eastAsia"/>
          <w:color w:val="000000"/>
          <w:kern w:val="0"/>
        </w:rPr>
        <w:t>不滿</w:t>
      </w:r>
      <w:r w:rsidRPr="00283523">
        <w:rPr>
          <w:rFonts w:ascii="標楷體" w:eastAsia="標楷體" w:hAnsi="標楷體"/>
          <w:color w:val="000000"/>
          <w:kern w:val="0"/>
        </w:rPr>
        <w:t>90</w:t>
      </w:r>
      <w:r w:rsidRPr="00283523">
        <w:rPr>
          <w:rFonts w:ascii="標楷體" w:eastAsia="標楷體" w:hAnsi="標楷體" w:hint="eastAsia"/>
          <w:color w:val="000000"/>
          <w:kern w:val="0"/>
        </w:rPr>
        <w:t>分</w:t>
      </w:r>
      <w:proofErr w:type="gramEnd"/>
      <w:r w:rsidRPr="00283523">
        <w:rPr>
          <w:rFonts w:ascii="標楷體" w:eastAsia="標楷體" w:hAnsi="標楷體" w:hint="eastAsia"/>
          <w:color w:val="000000"/>
          <w:kern w:val="0"/>
        </w:rPr>
        <w:t>者為甲等。</w:t>
      </w:r>
    </w:p>
    <w:p w:rsidR="002B2F67" w:rsidRPr="00283523" w:rsidRDefault="002B2F67" w:rsidP="002B2F67">
      <w:pPr>
        <w:widowControl/>
        <w:spacing w:line="360" w:lineRule="atLeast"/>
        <w:ind w:left="960" w:hanging="60"/>
        <w:jc w:val="both"/>
        <w:rPr>
          <w:color w:val="000000"/>
          <w:kern w:val="0"/>
        </w:rPr>
      </w:pPr>
      <w:r w:rsidRPr="00283523">
        <w:rPr>
          <w:rFonts w:ascii="標楷體" w:eastAsia="標楷體" w:hAnsi="標楷體"/>
          <w:color w:val="000000"/>
          <w:kern w:val="0"/>
        </w:rPr>
        <w:t>三、70</w:t>
      </w:r>
      <w:r w:rsidRPr="00283523">
        <w:rPr>
          <w:rFonts w:ascii="標楷體" w:eastAsia="標楷體" w:hAnsi="標楷體" w:hint="eastAsia"/>
          <w:color w:val="000000"/>
          <w:kern w:val="0"/>
        </w:rPr>
        <w:t>分以上</w:t>
      </w:r>
      <w:proofErr w:type="gramStart"/>
      <w:r w:rsidRPr="00283523">
        <w:rPr>
          <w:rFonts w:ascii="標楷體" w:eastAsia="標楷體" w:hAnsi="標楷體" w:hint="eastAsia"/>
          <w:color w:val="000000"/>
          <w:kern w:val="0"/>
        </w:rPr>
        <w:t>不滿</w:t>
      </w:r>
      <w:r w:rsidRPr="00283523">
        <w:rPr>
          <w:rFonts w:ascii="標楷體" w:eastAsia="標楷體" w:hAnsi="標楷體"/>
          <w:color w:val="000000"/>
          <w:kern w:val="0"/>
        </w:rPr>
        <w:t>80</w:t>
      </w:r>
      <w:r w:rsidRPr="00283523">
        <w:rPr>
          <w:rFonts w:ascii="標楷體" w:eastAsia="標楷體" w:hAnsi="標楷體" w:hint="eastAsia"/>
          <w:color w:val="000000"/>
          <w:kern w:val="0"/>
        </w:rPr>
        <w:t>分</w:t>
      </w:r>
      <w:proofErr w:type="gramEnd"/>
      <w:r w:rsidRPr="00283523">
        <w:rPr>
          <w:rFonts w:ascii="標楷體" w:eastAsia="標楷體" w:hAnsi="標楷體" w:hint="eastAsia"/>
          <w:color w:val="000000"/>
          <w:kern w:val="0"/>
        </w:rPr>
        <w:t>者為乙等。</w:t>
      </w:r>
    </w:p>
    <w:p w:rsidR="002B2F67" w:rsidRPr="00283523" w:rsidRDefault="002B2F67" w:rsidP="002B2F67">
      <w:pPr>
        <w:widowControl/>
        <w:spacing w:line="360" w:lineRule="atLeast"/>
        <w:ind w:left="960" w:hanging="60"/>
        <w:jc w:val="both"/>
        <w:rPr>
          <w:color w:val="000000"/>
          <w:kern w:val="0"/>
        </w:rPr>
      </w:pPr>
      <w:r w:rsidRPr="00283523">
        <w:rPr>
          <w:rFonts w:ascii="標楷體" w:eastAsia="標楷體" w:hAnsi="標楷體"/>
          <w:color w:val="000000"/>
          <w:kern w:val="0"/>
        </w:rPr>
        <w:t>四、60</w:t>
      </w:r>
      <w:r w:rsidRPr="00283523">
        <w:rPr>
          <w:rFonts w:ascii="標楷體" w:eastAsia="標楷體" w:hAnsi="標楷體" w:hint="eastAsia"/>
          <w:color w:val="000000"/>
          <w:kern w:val="0"/>
        </w:rPr>
        <w:t>分以上</w:t>
      </w:r>
      <w:proofErr w:type="gramStart"/>
      <w:r w:rsidRPr="00283523">
        <w:rPr>
          <w:rFonts w:ascii="標楷體" w:eastAsia="標楷體" w:hAnsi="標楷體" w:hint="eastAsia"/>
          <w:color w:val="000000"/>
          <w:kern w:val="0"/>
        </w:rPr>
        <w:t>不滿</w:t>
      </w:r>
      <w:r w:rsidRPr="00283523">
        <w:rPr>
          <w:rFonts w:ascii="標楷體" w:eastAsia="標楷體" w:hAnsi="標楷體"/>
          <w:color w:val="000000"/>
          <w:kern w:val="0"/>
        </w:rPr>
        <w:t>70</w:t>
      </w:r>
      <w:r w:rsidRPr="00283523">
        <w:rPr>
          <w:rFonts w:ascii="標楷體" w:eastAsia="標楷體" w:hAnsi="標楷體" w:hint="eastAsia"/>
          <w:color w:val="000000"/>
          <w:kern w:val="0"/>
        </w:rPr>
        <w:t>分</w:t>
      </w:r>
      <w:proofErr w:type="gramEnd"/>
      <w:r w:rsidRPr="00283523">
        <w:rPr>
          <w:rFonts w:ascii="標楷體" w:eastAsia="標楷體" w:hAnsi="標楷體" w:hint="eastAsia"/>
          <w:color w:val="000000"/>
          <w:kern w:val="0"/>
        </w:rPr>
        <w:t>者為丙等。</w:t>
      </w:r>
    </w:p>
    <w:p w:rsidR="002B2F67" w:rsidRPr="00283523" w:rsidRDefault="002B2F67" w:rsidP="002B2F67">
      <w:pPr>
        <w:widowControl/>
        <w:spacing w:line="360" w:lineRule="atLeast"/>
        <w:ind w:leftChars="375" w:left="1320" w:hangingChars="175" w:hanging="420"/>
        <w:jc w:val="both"/>
        <w:rPr>
          <w:color w:val="000000"/>
          <w:kern w:val="0"/>
        </w:rPr>
      </w:pPr>
      <w:r w:rsidRPr="00283523">
        <w:rPr>
          <w:rFonts w:ascii="標楷體" w:eastAsia="標楷體" w:hAnsi="標楷體"/>
          <w:color w:val="000000"/>
          <w:kern w:val="0"/>
        </w:rPr>
        <w:t>五、</w:t>
      </w:r>
      <w:proofErr w:type="gramStart"/>
      <w:r w:rsidRPr="00283523">
        <w:rPr>
          <w:rFonts w:ascii="標楷體" w:eastAsia="標楷體" w:hAnsi="標楷體" w:hint="eastAsia"/>
          <w:color w:val="000000"/>
          <w:kern w:val="0"/>
        </w:rPr>
        <w:t>不滿</w:t>
      </w:r>
      <w:r w:rsidRPr="00283523">
        <w:rPr>
          <w:rFonts w:ascii="標楷體" w:eastAsia="標楷體" w:hAnsi="標楷體"/>
          <w:color w:val="000000"/>
          <w:kern w:val="0"/>
        </w:rPr>
        <w:t>60</w:t>
      </w:r>
      <w:r w:rsidRPr="00283523">
        <w:rPr>
          <w:rFonts w:ascii="標楷體" w:eastAsia="標楷體" w:hAnsi="標楷體" w:hint="eastAsia"/>
          <w:color w:val="000000"/>
          <w:kern w:val="0"/>
        </w:rPr>
        <w:t>分者列</w:t>
      </w:r>
      <w:proofErr w:type="gramEnd"/>
      <w:r w:rsidRPr="00283523">
        <w:rPr>
          <w:rFonts w:ascii="標楷體" w:eastAsia="標楷體" w:hAnsi="標楷體" w:hint="eastAsia"/>
          <w:color w:val="000000"/>
          <w:kern w:val="0"/>
        </w:rPr>
        <w:t>丁等為不及格；凡列丁等之學生，應受勒令退學之處分。</w:t>
      </w:r>
    </w:p>
    <w:p w:rsidR="002B2F67" w:rsidRPr="00283523" w:rsidRDefault="002B2F67" w:rsidP="002B2F67">
      <w:pPr>
        <w:widowControl/>
        <w:spacing w:line="360" w:lineRule="atLeast"/>
        <w:ind w:left="960" w:hanging="60"/>
        <w:jc w:val="both"/>
        <w:rPr>
          <w:color w:val="000000"/>
          <w:kern w:val="0"/>
        </w:rPr>
      </w:pPr>
      <w:r w:rsidRPr="00283523">
        <w:rPr>
          <w:rFonts w:ascii="標楷體" w:eastAsia="標楷體" w:hAnsi="標楷體"/>
          <w:color w:val="000000"/>
          <w:kern w:val="0"/>
        </w:rPr>
        <w:t>六、</w:t>
      </w:r>
      <w:r w:rsidRPr="00283523">
        <w:rPr>
          <w:rFonts w:ascii="標楷體" w:eastAsia="標楷體" w:hAnsi="標楷體" w:hint="eastAsia"/>
          <w:color w:val="000000"/>
          <w:kern w:val="0"/>
        </w:rPr>
        <w:t>評分結果超過九十五分者，以</w:t>
      </w:r>
      <w:r w:rsidRPr="00283523">
        <w:rPr>
          <w:rFonts w:ascii="標楷體" w:eastAsia="標楷體" w:hAnsi="標楷體"/>
          <w:color w:val="000000"/>
          <w:kern w:val="0"/>
        </w:rPr>
        <w:t>95</w:t>
      </w:r>
      <w:r w:rsidRPr="00283523">
        <w:rPr>
          <w:rFonts w:ascii="標楷體" w:eastAsia="標楷體" w:hAnsi="標楷體" w:hint="eastAsia"/>
          <w:color w:val="000000"/>
          <w:kern w:val="0"/>
        </w:rPr>
        <w:t>分計算。</w:t>
      </w:r>
    </w:p>
    <w:p w:rsidR="002B2F67" w:rsidRPr="00283523" w:rsidRDefault="002B2F67" w:rsidP="002B2F67">
      <w:pPr>
        <w:widowControl/>
        <w:spacing w:before="120" w:line="360" w:lineRule="atLeast"/>
        <w:ind w:left="900" w:hanging="900"/>
        <w:jc w:val="both"/>
        <w:rPr>
          <w:color w:val="000000"/>
          <w:kern w:val="0"/>
        </w:rPr>
      </w:pPr>
      <w:r w:rsidRPr="00283523">
        <w:rPr>
          <w:rFonts w:ascii="標楷體" w:eastAsia="標楷體" w:hAnsi="標楷體"/>
          <w:color w:val="000000"/>
          <w:kern w:val="0"/>
        </w:rPr>
        <w:t>第六條</w:t>
      </w:r>
      <w:r w:rsidRPr="00283523">
        <w:rPr>
          <w:rFonts w:ascii="標楷體" w:eastAsia="標楷體" w:hAnsi="標楷體" w:hint="eastAsia"/>
          <w:color w:val="000000"/>
          <w:kern w:val="0"/>
          <w:sz w:val="14"/>
          <w:szCs w:val="14"/>
        </w:rPr>
        <w:t>   </w:t>
      </w:r>
      <w:r w:rsidRPr="00283523">
        <w:rPr>
          <w:rFonts w:ascii="標楷體" w:eastAsia="標楷體" w:hAnsi="標楷體" w:hint="eastAsia"/>
          <w:color w:val="000000"/>
          <w:kern w:val="0"/>
        </w:rPr>
        <w:t>學生操行成績評分方式為：</w:t>
      </w:r>
    </w:p>
    <w:p w:rsidR="002B2F67" w:rsidRPr="00283523" w:rsidRDefault="002B2F67" w:rsidP="002B2F67">
      <w:pPr>
        <w:widowControl/>
        <w:spacing w:before="120" w:line="360" w:lineRule="atLeast"/>
        <w:ind w:left="900"/>
        <w:jc w:val="both"/>
        <w:rPr>
          <w:color w:val="000000"/>
          <w:kern w:val="0"/>
        </w:rPr>
      </w:pPr>
      <w:r w:rsidRPr="00283523">
        <w:rPr>
          <w:rFonts w:ascii="標楷體" w:eastAsia="標楷體" w:hAnsi="標楷體" w:hint="eastAsia"/>
          <w:color w:val="000000"/>
          <w:kern w:val="0"/>
        </w:rPr>
        <w:t>學生基本分數</w:t>
      </w:r>
      <w:r w:rsidRPr="00283523">
        <w:rPr>
          <w:rFonts w:ascii="標楷體" w:eastAsia="標楷體" w:hAnsi="標楷體"/>
          <w:color w:val="000000"/>
          <w:kern w:val="0"/>
        </w:rPr>
        <w:t>82</w:t>
      </w:r>
      <w:r w:rsidRPr="00283523">
        <w:rPr>
          <w:rFonts w:ascii="標楷體" w:eastAsia="標楷體" w:hAnsi="標楷體" w:hint="eastAsia"/>
          <w:color w:val="000000"/>
          <w:kern w:val="0"/>
        </w:rPr>
        <w:t>分，全學期未受申誡以上之處分者，由學</w:t>
      </w:r>
      <w:proofErr w:type="gramStart"/>
      <w:r w:rsidRPr="00283523">
        <w:rPr>
          <w:rFonts w:ascii="標楷體" w:eastAsia="標楷體" w:hAnsi="標楷體" w:hint="eastAsia"/>
          <w:color w:val="000000"/>
          <w:kern w:val="0"/>
        </w:rPr>
        <w:t>務</w:t>
      </w:r>
      <w:proofErr w:type="gramEnd"/>
      <w:r w:rsidRPr="00283523">
        <w:rPr>
          <w:rFonts w:ascii="標楷體" w:eastAsia="標楷體" w:hAnsi="標楷體" w:hint="eastAsia"/>
          <w:color w:val="000000"/>
          <w:kern w:val="0"/>
        </w:rPr>
        <w:t>處自動加分至</w:t>
      </w:r>
      <w:r w:rsidRPr="00283523">
        <w:rPr>
          <w:rFonts w:ascii="標楷體" w:eastAsia="標楷體" w:hAnsi="標楷體"/>
          <w:color w:val="000000"/>
          <w:kern w:val="0"/>
        </w:rPr>
        <w:t>85</w:t>
      </w:r>
      <w:r w:rsidRPr="00283523">
        <w:rPr>
          <w:rFonts w:ascii="標楷體" w:eastAsia="標楷體" w:hAnsi="標楷體" w:hint="eastAsia"/>
          <w:color w:val="000000"/>
          <w:kern w:val="0"/>
        </w:rPr>
        <w:t>分，獎勵另計；受申誡以上之處分者以</w:t>
      </w:r>
      <w:r w:rsidRPr="00283523">
        <w:rPr>
          <w:rFonts w:ascii="標楷體" w:eastAsia="標楷體" w:hAnsi="標楷體"/>
          <w:color w:val="000000"/>
          <w:kern w:val="0"/>
        </w:rPr>
        <w:t>82</w:t>
      </w:r>
      <w:r w:rsidRPr="00283523">
        <w:rPr>
          <w:rFonts w:ascii="標楷體" w:eastAsia="標楷體" w:hAnsi="標楷體" w:hint="eastAsia"/>
          <w:color w:val="000000"/>
          <w:kern w:val="0"/>
        </w:rPr>
        <w:t>分為加減基準核算之。</w:t>
      </w:r>
    </w:p>
    <w:p w:rsidR="002B2F67" w:rsidRPr="00283523" w:rsidRDefault="002B2F67" w:rsidP="002B2F67">
      <w:pPr>
        <w:widowControl/>
        <w:spacing w:before="120" w:line="360" w:lineRule="atLeast"/>
        <w:ind w:left="900" w:hanging="900"/>
        <w:jc w:val="both"/>
        <w:rPr>
          <w:color w:val="000000"/>
          <w:kern w:val="0"/>
        </w:rPr>
      </w:pPr>
      <w:r w:rsidRPr="00283523">
        <w:rPr>
          <w:rFonts w:ascii="標楷體" w:eastAsia="標楷體" w:hAnsi="標楷體"/>
          <w:color w:val="000000"/>
          <w:kern w:val="0"/>
        </w:rPr>
        <w:t>第七條</w:t>
      </w:r>
      <w:r w:rsidRPr="00283523">
        <w:rPr>
          <w:rFonts w:ascii="標楷體" w:eastAsia="標楷體" w:hAnsi="標楷體" w:hint="eastAsia"/>
          <w:color w:val="000000"/>
          <w:kern w:val="0"/>
          <w:sz w:val="14"/>
          <w:szCs w:val="14"/>
        </w:rPr>
        <w:t>   </w:t>
      </w:r>
      <w:r w:rsidRPr="00283523">
        <w:rPr>
          <w:rFonts w:ascii="標楷體" w:eastAsia="標楷體" w:hAnsi="標楷體" w:hint="eastAsia"/>
          <w:color w:val="000000"/>
          <w:kern w:val="0"/>
        </w:rPr>
        <w:t>學生獎懲事項其加減分數，規定如下：</w:t>
      </w:r>
    </w:p>
    <w:p w:rsidR="002B2F67" w:rsidRPr="00283523" w:rsidRDefault="002B2F67" w:rsidP="002B2F67">
      <w:pPr>
        <w:widowControl/>
        <w:spacing w:line="360" w:lineRule="atLeast"/>
        <w:ind w:left="960" w:hanging="60"/>
        <w:jc w:val="both"/>
        <w:rPr>
          <w:color w:val="000000"/>
          <w:kern w:val="0"/>
        </w:rPr>
      </w:pPr>
      <w:r w:rsidRPr="00283523">
        <w:rPr>
          <w:rFonts w:ascii="標楷體" w:eastAsia="標楷體" w:hAnsi="標楷體"/>
          <w:color w:val="000000"/>
          <w:kern w:val="0"/>
        </w:rPr>
        <w:t>一、</w:t>
      </w:r>
      <w:proofErr w:type="gramStart"/>
      <w:r w:rsidRPr="00283523">
        <w:rPr>
          <w:rFonts w:ascii="標楷體" w:eastAsia="標楷體" w:hAnsi="標楷體" w:hint="eastAsia"/>
          <w:color w:val="000000"/>
          <w:kern w:val="0"/>
        </w:rPr>
        <w:t>嘉獎壹次</w:t>
      </w:r>
      <w:proofErr w:type="gramEnd"/>
      <w:r w:rsidRPr="00283523">
        <w:rPr>
          <w:rFonts w:ascii="標楷體" w:eastAsia="標楷體" w:hAnsi="標楷體" w:hint="eastAsia"/>
          <w:color w:val="000000"/>
          <w:kern w:val="0"/>
        </w:rPr>
        <w:t>加</w:t>
      </w:r>
      <w:r w:rsidRPr="00283523">
        <w:rPr>
          <w:rFonts w:ascii="標楷體" w:eastAsia="標楷體" w:hAnsi="標楷體"/>
          <w:color w:val="000000"/>
          <w:kern w:val="0"/>
        </w:rPr>
        <w:t>1</w:t>
      </w:r>
      <w:r w:rsidRPr="00283523">
        <w:rPr>
          <w:rFonts w:ascii="標楷體" w:eastAsia="標楷體" w:hAnsi="標楷體" w:hint="eastAsia"/>
          <w:color w:val="000000"/>
          <w:kern w:val="0"/>
        </w:rPr>
        <w:t>分，</w:t>
      </w:r>
      <w:proofErr w:type="gramStart"/>
      <w:r w:rsidRPr="00283523">
        <w:rPr>
          <w:rFonts w:ascii="標楷體" w:eastAsia="標楷體" w:hAnsi="標楷體" w:hint="eastAsia"/>
          <w:color w:val="000000"/>
          <w:kern w:val="0"/>
        </w:rPr>
        <w:t>記功壹次加</w:t>
      </w:r>
      <w:proofErr w:type="gramEnd"/>
      <w:r w:rsidRPr="00283523">
        <w:rPr>
          <w:rFonts w:ascii="標楷體" w:eastAsia="標楷體" w:hAnsi="標楷體"/>
          <w:color w:val="000000"/>
          <w:kern w:val="0"/>
        </w:rPr>
        <w:t>2.5</w:t>
      </w:r>
      <w:r w:rsidRPr="00283523">
        <w:rPr>
          <w:rFonts w:ascii="標楷體" w:eastAsia="標楷體" w:hAnsi="標楷體" w:hint="eastAsia"/>
          <w:color w:val="000000"/>
          <w:kern w:val="0"/>
        </w:rPr>
        <w:t>分，</w:t>
      </w:r>
      <w:proofErr w:type="gramStart"/>
      <w:r w:rsidRPr="00283523">
        <w:rPr>
          <w:rFonts w:ascii="標楷體" w:eastAsia="標楷體" w:hAnsi="標楷體" w:hint="eastAsia"/>
          <w:color w:val="000000"/>
          <w:kern w:val="0"/>
        </w:rPr>
        <w:t>大功壹次加</w:t>
      </w:r>
      <w:proofErr w:type="gramEnd"/>
      <w:r w:rsidRPr="00283523">
        <w:rPr>
          <w:rFonts w:ascii="標楷體" w:eastAsia="標楷體" w:hAnsi="標楷體"/>
          <w:color w:val="000000"/>
          <w:kern w:val="0"/>
        </w:rPr>
        <w:t>7.5</w:t>
      </w:r>
      <w:r w:rsidRPr="00283523">
        <w:rPr>
          <w:rFonts w:ascii="標楷體" w:eastAsia="標楷體" w:hAnsi="標楷體" w:hint="eastAsia"/>
          <w:color w:val="000000"/>
          <w:kern w:val="0"/>
        </w:rPr>
        <w:t>分。</w:t>
      </w:r>
    </w:p>
    <w:p w:rsidR="002B2F67" w:rsidRPr="00283523" w:rsidRDefault="002B2F67" w:rsidP="002B2F67">
      <w:pPr>
        <w:widowControl/>
        <w:spacing w:line="360" w:lineRule="atLeast"/>
        <w:ind w:left="960" w:hanging="60"/>
        <w:jc w:val="both"/>
        <w:rPr>
          <w:color w:val="000000"/>
          <w:kern w:val="0"/>
        </w:rPr>
      </w:pPr>
      <w:r w:rsidRPr="00283523">
        <w:rPr>
          <w:rFonts w:ascii="標楷體" w:eastAsia="標楷體" w:hAnsi="標楷體"/>
          <w:color w:val="000000"/>
          <w:kern w:val="0"/>
        </w:rPr>
        <w:t>二、</w:t>
      </w:r>
      <w:r w:rsidRPr="00283523">
        <w:rPr>
          <w:rFonts w:ascii="標楷體" w:eastAsia="標楷體" w:hAnsi="標楷體" w:hint="eastAsia"/>
          <w:color w:val="000000"/>
          <w:kern w:val="0"/>
        </w:rPr>
        <w:t>申誡</w:t>
      </w:r>
      <w:proofErr w:type="gramStart"/>
      <w:r w:rsidRPr="00283523">
        <w:rPr>
          <w:rFonts w:ascii="標楷體" w:eastAsia="標楷體" w:hAnsi="標楷體" w:hint="eastAsia"/>
          <w:color w:val="000000"/>
          <w:kern w:val="0"/>
        </w:rPr>
        <w:t>壹次扣</w:t>
      </w:r>
      <w:proofErr w:type="gramEnd"/>
      <w:r w:rsidRPr="00283523">
        <w:rPr>
          <w:rFonts w:ascii="標楷體" w:eastAsia="標楷體" w:hAnsi="標楷體"/>
          <w:color w:val="000000"/>
          <w:kern w:val="0"/>
        </w:rPr>
        <w:t>1</w:t>
      </w:r>
      <w:r w:rsidRPr="00283523">
        <w:rPr>
          <w:rFonts w:ascii="標楷體" w:eastAsia="標楷體" w:hAnsi="標楷體" w:hint="eastAsia"/>
          <w:color w:val="000000"/>
          <w:kern w:val="0"/>
        </w:rPr>
        <w:t>分，記過</w:t>
      </w:r>
      <w:proofErr w:type="gramStart"/>
      <w:r w:rsidRPr="00283523">
        <w:rPr>
          <w:rFonts w:ascii="標楷體" w:eastAsia="標楷體" w:hAnsi="標楷體" w:hint="eastAsia"/>
          <w:color w:val="000000"/>
          <w:kern w:val="0"/>
        </w:rPr>
        <w:t>壹次扣</w:t>
      </w:r>
      <w:proofErr w:type="gramEnd"/>
      <w:r w:rsidRPr="00283523">
        <w:rPr>
          <w:rFonts w:ascii="標楷體" w:eastAsia="標楷體" w:hAnsi="標楷體"/>
          <w:color w:val="000000"/>
          <w:kern w:val="0"/>
        </w:rPr>
        <w:t>2.5</w:t>
      </w:r>
      <w:r w:rsidRPr="00283523">
        <w:rPr>
          <w:rFonts w:ascii="標楷體" w:eastAsia="標楷體" w:hAnsi="標楷體" w:hint="eastAsia"/>
          <w:color w:val="000000"/>
          <w:kern w:val="0"/>
        </w:rPr>
        <w:t>分，大過</w:t>
      </w:r>
      <w:proofErr w:type="gramStart"/>
      <w:r w:rsidRPr="00283523">
        <w:rPr>
          <w:rFonts w:ascii="標楷體" w:eastAsia="標楷體" w:hAnsi="標楷體" w:hint="eastAsia"/>
          <w:color w:val="000000"/>
          <w:kern w:val="0"/>
        </w:rPr>
        <w:t>壹次扣</w:t>
      </w:r>
      <w:proofErr w:type="gramEnd"/>
      <w:r w:rsidRPr="00283523">
        <w:rPr>
          <w:rFonts w:ascii="標楷體" w:eastAsia="標楷體" w:hAnsi="標楷體"/>
          <w:color w:val="000000"/>
          <w:kern w:val="0"/>
        </w:rPr>
        <w:t>7.5</w:t>
      </w:r>
      <w:r w:rsidRPr="00283523">
        <w:rPr>
          <w:rFonts w:ascii="標楷體" w:eastAsia="標楷體" w:hAnsi="標楷體" w:hint="eastAsia"/>
          <w:color w:val="000000"/>
          <w:kern w:val="0"/>
        </w:rPr>
        <w:t>分。</w:t>
      </w:r>
    </w:p>
    <w:p w:rsidR="002B2F67" w:rsidRPr="00283523" w:rsidRDefault="002B2F67" w:rsidP="002B2F67">
      <w:pPr>
        <w:widowControl/>
        <w:spacing w:before="120" w:line="360" w:lineRule="atLeast"/>
        <w:ind w:left="900" w:hanging="900"/>
        <w:jc w:val="both"/>
        <w:rPr>
          <w:color w:val="000000"/>
          <w:kern w:val="0"/>
        </w:rPr>
      </w:pPr>
      <w:r w:rsidRPr="00283523">
        <w:rPr>
          <w:rFonts w:ascii="標楷體" w:eastAsia="標楷體" w:hAnsi="標楷體"/>
          <w:color w:val="000000"/>
          <w:kern w:val="0"/>
        </w:rPr>
        <w:t>第八條</w:t>
      </w:r>
      <w:r w:rsidRPr="00283523">
        <w:rPr>
          <w:rFonts w:ascii="標楷體" w:eastAsia="標楷體" w:hAnsi="標楷體" w:hint="eastAsia"/>
          <w:color w:val="000000"/>
          <w:kern w:val="0"/>
          <w:sz w:val="14"/>
          <w:szCs w:val="14"/>
        </w:rPr>
        <w:t>   </w:t>
      </w:r>
      <w:r w:rsidRPr="00283523">
        <w:rPr>
          <w:rFonts w:ascii="標楷體" w:eastAsia="標楷體" w:hAnsi="標楷體" w:hint="eastAsia"/>
          <w:color w:val="000000"/>
          <w:kern w:val="0"/>
        </w:rPr>
        <w:t>定期察看學生，在察看期間，操行成績一律以</w:t>
      </w:r>
      <w:r w:rsidRPr="00283523">
        <w:rPr>
          <w:rFonts w:ascii="標楷體" w:eastAsia="標楷體" w:hAnsi="標楷體"/>
          <w:color w:val="000000"/>
          <w:kern w:val="0"/>
        </w:rPr>
        <w:t>60</w:t>
      </w:r>
      <w:r w:rsidRPr="00283523">
        <w:rPr>
          <w:rFonts w:ascii="標楷體" w:eastAsia="標楷體" w:hAnsi="標楷體" w:hint="eastAsia"/>
          <w:color w:val="000000"/>
          <w:kern w:val="0"/>
        </w:rPr>
        <w:t>分計算。</w:t>
      </w:r>
      <w:r w:rsidRPr="00283523">
        <w:rPr>
          <w:rFonts w:ascii="標楷體" w:eastAsia="標楷體" w:hAnsi="標楷體"/>
          <w:color w:val="000000"/>
          <w:kern w:val="0"/>
        </w:rPr>
        <w:t>(</w:t>
      </w:r>
      <w:r w:rsidRPr="00283523">
        <w:rPr>
          <w:rFonts w:ascii="標楷體" w:eastAsia="標楷體" w:hAnsi="標楷體" w:hint="eastAsia"/>
          <w:color w:val="000000"/>
          <w:kern w:val="0"/>
        </w:rPr>
        <w:t>在學期間以一次為限</w:t>
      </w:r>
      <w:r w:rsidRPr="00283523">
        <w:rPr>
          <w:rFonts w:ascii="標楷體" w:eastAsia="標楷體" w:hAnsi="標楷體"/>
          <w:color w:val="000000"/>
          <w:kern w:val="0"/>
        </w:rPr>
        <w:t>)</w:t>
      </w:r>
    </w:p>
    <w:p w:rsidR="002B2F67" w:rsidRPr="00283523" w:rsidRDefault="002B2F67" w:rsidP="002B2F67">
      <w:pPr>
        <w:widowControl/>
        <w:spacing w:before="120" w:line="360" w:lineRule="atLeast"/>
        <w:ind w:left="900" w:hanging="900"/>
        <w:jc w:val="both"/>
        <w:rPr>
          <w:color w:val="000000"/>
          <w:kern w:val="0"/>
        </w:rPr>
      </w:pPr>
      <w:r w:rsidRPr="00283523">
        <w:rPr>
          <w:rFonts w:ascii="標楷體" w:eastAsia="標楷體" w:hAnsi="標楷體"/>
          <w:color w:val="000000"/>
          <w:kern w:val="0"/>
        </w:rPr>
        <w:t>第九條</w:t>
      </w:r>
      <w:r w:rsidRPr="00283523">
        <w:rPr>
          <w:rFonts w:ascii="標楷體" w:eastAsia="標楷體" w:hAnsi="標楷體" w:hint="eastAsia"/>
          <w:color w:val="000000"/>
          <w:kern w:val="0"/>
          <w:sz w:val="14"/>
          <w:szCs w:val="14"/>
        </w:rPr>
        <w:t>   </w:t>
      </w:r>
      <w:r w:rsidRPr="00283523">
        <w:rPr>
          <w:rFonts w:ascii="標楷體" w:eastAsia="標楷體" w:hAnsi="標楷體" w:hint="eastAsia"/>
          <w:color w:val="000000"/>
          <w:kern w:val="0"/>
        </w:rPr>
        <w:t>學生畢業時之操行總成績，以在校肆業期間各學期之操行成績總分平均計算。</w:t>
      </w:r>
    </w:p>
    <w:p w:rsidR="002B2F67" w:rsidRPr="00283523" w:rsidRDefault="002B2F67" w:rsidP="002B2F67">
      <w:pPr>
        <w:widowControl/>
        <w:spacing w:before="120" w:line="360" w:lineRule="atLeast"/>
        <w:ind w:left="900" w:hanging="900"/>
        <w:jc w:val="both"/>
        <w:rPr>
          <w:color w:val="000000"/>
          <w:kern w:val="0"/>
        </w:rPr>
      </w:pPr>
      <w:r w:rsidRPr="00283523">
        <w:rPr>
          <w:rFonts w:ascii="標楷體" w:eastAsia="標楷體" w:hAnsi="標楷體"/>
          <w:color w:val="000000"/>
          <w:kern w:val="0"/>
        </w:rPr>
        <w:t>第十條</w:t>
      </w:r>
      <w:r w:rsidRPr="00283523">
        <w:rPr>
          <w:rFonts w:ascii="標楷體" w:eastAsia="標楷體" w:hAnsi="標楷體" w:hint="eastAsia"/>
          <w:color w:val="000000"/>
          <w:kern w:val="0"/>
          <w:sz w:val="14"/>
          <w:szCs w:val="14"/>
        </w:rPr>
        <w:t>   </w:t>
      </w:r>
      <w:r w:rsidRPr="00283523">
        <w:rPr>
          <w:rFonts w:ascii="標楷體" w:eastAsia="標楷體" w:hAnsi="標楷體" w:hint="eastAsia"/>
          <w:color w:val="000000"/>
          <w:kern w:val="0"/>
        </w:rPr>
        <w:t>本校教職員對學生行為之優劣，得列事實依本校獎懲規定，以書面提供承辦單位評分。</w:t>
      </w:r>
    </w:p>
    <w:p w:rsidR="002B2F67" w:rsidRPr="00283523" w:rsidRDefault="002B2F67" w:rsidP="002B2F67">
      <w:pPr>
        <w:widowControl/>
        <w:spacing w:before="120" w:line="360" w:lineRule="atLeast"/>
        <w:ind w:left="900" w:hanging="900"/>
        <w:jc w:val="both"/>
        <w:rPr>
          <w:color w:val="000000"/>
          <w:kern w:val="0"/>
        </w:rPr>
      </w:pPr>
      <w:r w:rsidRPr="00283523">
        <w:rPr>
          <w:rFonts w:ascii="標楷體" w:eastAsia="標楷體" w:hAnsi="標楷體"/>
          <w:color w:val="000000"/>
          <w:kern w:val="0"/>
        </w:rPr>
        <w:t>第十一條</w:t>
      </w:r>
      <w:r w:rsidRPr="00283523">
        <w:rPr>
          <w:rFonts w:ascii="標楷體" w:eastAsia="標楷體" w:hAnsi="標楷體" w:hint="eastAsia"/>
          <w:color w:val="000000"/>
          <w:kern w:val="0"/>
        </w:rPr>
        <w:t xml:space="preserve">  </w:t>
      </w:r>
      <w:r w:rsidRPr="00283523">
        <w:rPr>
          <w:rFonts w:ascii="標楷體" w:eastAsia="標楷體" w:hAnsi="標楷體" w:hint="eastAsia"/>
          <w:color w:val="000000"/>
          <w:kern w:val="0"/>
          <w:sz w:val="14"/>
          <w:szCs w:val="14"/>
        </w:rPr>
        <w:t xml:space="preserve">  </w:t>
      </w:r>
      <w:r w:rsidRPr="00283523">
        <w:rPr>
          <w:rFonts w:ascii="標楷體" w:eastAsia="標楷體" w:hAnsi="標楷體" w:hint="eastAsia"/>
          <w:color w:val="000000"/>
          <w:kern w:val="0"/>
        </w:rPr>
        <w:t>本辦法經學生事務會議通過，報請校長核定後實施，修訂時亦同。</w:t>
      </w:r>
    </w:p>
    <w:bookmarkEnd w:id="0"/>
    <w:p w:rsidR="00A25970" w:rsidRPr="002B2F67" w:rsidRDefault="00320CB5"/>
    <w:sectPr w:rsidR="00A25970" w:rsidRPr="002B2F67" w:rsidSect="00591A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B5" w:rsidRDefault="00320CB5" w:rsidP="002B2F67">
      <w:r>
        <w:separator/>
      </w:r>
    </w:p>
  </w:endnote>
  <w:endnote w:type="continuationSeparator" w:id="0">
    <w:p w:rsidR="00320CB5" w:rsidRDefault="00320CB5" w:rsidP="002B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B5" w:rsidRDefault="00320CB5" w:rsidP="002B2F67">
      <w:r>
        <w:separator/>
      </w:r>
    </w:p>
  </w:footnote>
  <w:footnote w:type="continuationSeparator" w:id="0">
    <w:p w:rsidR="00320CB5" w:rsidRDefault="00320CB5" w:rsidP="002B2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58"/>
    <w:rsid w:val="001938FA"/>
    <w:rsid w:val="00283523"/>
    <w:rsid w:val="002B2F67"/>
    <w:rsid w:val="00320CB5"/>
    <w:rsid w:val="00591A58"/>
    <w:rsid w:val="006B180C"/>
    <w:rsid w:val="00AA0C58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F6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2F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2F6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2F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F6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2F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2F6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2F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2018-06-21T01:49:00Z</dcterms:created>
  <dcterms:modified xsi:type="dcterms:W3CDTF">2018-06-21T01:50:00Z</dcterms:modified>
</cp:coreProperties>
</file>